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3CCC" w14:textId="77777777" w:rsidR="000B3116" w:rsidRDefault="000B3116" w:rsidP="00601A31">
      <w:pPr>
        <w:jc w:val="center"/>
        <w:rPr>
          <w:sz w:val="20"/>
          <w:szCs w:val="20"/>
        </w:rPr>
      </w:pPr>
    </w:p>
    <w:p w14:paraId="60C958CE" w14:textId="77777777" w:rsidR="000B3116" w:rsidRDefault="000B3116" w:rsidP="000B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0BA1E" w14:textId="77777777" w:rsidR="000B3116" w:rsidRPr="00FD5E49" w:rsidRDefault="000B3116" w:rsidP="000B3116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 wp14:anchorId="758C6B34" wp14:editId="26F99989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 wp14:anchorId="5083E91F" wp14:editId="6F93279F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DE39" w14:textId="77777777" w:rsidR="000B3116" w:rsidRDefault="000B3116" w:rsidP="000B3116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1BEA1BEF" w14:textId="77777777" w:rsidR="000B3116" w:rsidRDefault="000B3116" w:rsidP="000B311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7F3E5086" w14:textId="77777777" w:rsidR="000B3116" w:rsidRDefault="000B3116" w:rsidP="000B311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14A4276F" w14:textId="77777777" w:rsidR="000B3116" w:rsidRPr="00893328" w:rsidRDefault="000B3116" w:rsidP="000B3116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  <w:r>
        <w:rPr>
          <w:rStyle w:val="SubtleEmphasis"/>
          <w:b/>
          <w:sz w:val="16"/>
          <w:szCs w:val="16"/>
          <w:lang w:val="en-CA"/>
        </w:rPr>
        <w:br/>
      </w:r>
    </w:p>
    <w:p w14:paraId="78897F73" w14:textId="77777777" w:rsidR="000B3116" w:rsidRPr="003D5D07" w:rsidRDefault="000B3116" w:rsidP="000B3116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4DEB4C79" w14:textId="77777777" w:rsidR="000B3116" w:rsidRPr="003D5D07" w:rsidRDefault="000B3116" w:rsidP="000B3116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0B3116" w:rsidRPr="00442EB1" w14:paraId="48F2A97C" w14:textId="77777777" w:rsidTr="00B176AB">
        <w:tc>
          <w:tcPr>
            <w:tcW w:w="1638" w:type="dxa"/>
          </w:tcPr>
          <w:p w14:paraId="56E194CC" w14:textId="77777777" w:rsidR="000B3116" w:rsidRPr="00442EB1" w:rsidRDefault="000B3116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271643F5" w14:textId="77777777" w:rsidR="000B3116" w:rsidRPr="00235777" w:rsidRDefault="000B3116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Governance</w:t>
            </w:r>
            <w:proofErr w:type="spellEnd"/>
          </w:p>
        </w:tc>
        <w:tc>
          <w:tcPr>
            <w:tcW w:w="2880" w:type="dxa"/>
          </w:tcPr>
          <w:p w14:paraId="1C39CC6C" w14:textId="77777777" w:rsidR="000B3116" w:rsidRPr="00442EB1" w:rsidRDefault="000B3116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70640A79" w14:textId="42568839" w:rsidR="000B3116" w:rsidRPr="00235777" w:rsidRDefault="000B3116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GOV-09</w:t>
            </w:r>
          </w:p>
        </w:tc>
      </w:tr>
      <w:tr w:rsidR="000B3116" w:rsidRPr="00F530CE" w14:paraId="437377A3" w14:textId="77777777" w:rsidTr="00B176AB">
        <w:tc>
          <w:tcPr>
            <w:tcW w:w="1638" w:type="dxa"/>
          </w:tcPr>
          <w:p w14:paraId="205CD8AF" w14:textId="77777777" w:rsidR="000B3116" w:rsidRPr="00442EB1" w:rsidRDefault="000B3116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24F174DD" w14:textId="4CAE2C19" w:rsidR="000B3116" w:rsidRPr="002345ED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Evaluation of the Chief Executive Director</w:t>
            </w:r>
          </w:p>
        </w:tc>
        <w:tc>
          <w:tcPr>
            <w:tcW w:w="2880" w:type="dxa"/>
          </w:tcPr>
          <w:p w14:paraId="5E1CFA1B" w14:textId="77777777" w:rsidR="000B3116" w:rsidRPr="0023577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November 16</w:t>
            </w:r>
            <w:r w:rsidRPr="006A6F53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18B3C403" w14:textId="77777777" w:rsidR="000B3116" w:rsidRPr="00235777" w:rsidRDefault="000B3116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B3116" w:rsidRPr="00F530CE" w14:paraId="2034B0F2" w14:textId="77777777" w:rsidTr="00B176AB">
        <w:tc>
          <w:tcPr>
            <w:tcW w:w="1638" w:type="dxa"/>
          </w:tcPr>
          <w:p w14:paraId="3FC18C2B" w14:textId="77777777" w:rsidR="000B3116" w:rsidRPr="0023577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7F2B334C" w14:textId="77777777" w:rsidR="000B3116" w:rsidRPr="0023577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375BD71B" w14:textId="6A311353" w:rsidR="000B3116" w:rsidRPr="006737F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="00F530CE">
              <w:rPr>
                <w:rFonts w:ascii="Arial Narrow" w:hAnsi="Arial Narrow"/>
                <w:color w:val="000000" w:themeColor="text1"/>
                <w:lang w:val="en-CA"/>
              </w:rPr>
              <w:br/>
              <w:t>24</w:t>
            </w:r>
            <w:r w:rsidR="00F530CE" w:rsidRPr="00F530CE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F530CE">
              <w:rPr>
                <w:rFonts w:ascii="Arial Narrow" w:hAnsi="Arial Narrow"/>
                <w:color w:val="000000" w:themeColor="text1"/>
                <w:lang w:val="en-CA"/>
              </w:rPr>
              <w:t xml:space="preserve"> January, 2022</w:t>
            </w:r>
          </w:p>
        </w:tc>
        <w:tc>
          <w:tcPr>
            <w:tcW w:w="2160" w:type="dxa"/>
          </w:tcPr>
          <w:p w14:paraId="5958013F" w14:textId="77777777" w:rsidR="000B3116" w:rsidRPr="006737F7" w:rsidRDefault="000B3116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B3116" w:rsidRPr="00F530CE" w14:paraId="5CD5F9B1" w14:textId="77777777" w:rsidTr="00B176AB">
        <w:tc>
          <w:tcPr>
            <w:tcW w:w="1638" w:type="dxa"/>
            <w:tcBorders>
              <w:bottom w:val="single" w:sz="4" w:space="0" w:color="auto"/>
            </w:tcBorders>
          </w:tcPr>
          <w:p w14:paraId="2074EC56" w14:textId="77777777" w:rsidR="000B3116" w:rsidRPr="006737F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09B7077" w14:textId="77777777" w:rsidR="000B3116" w:rsidRPr="006737F7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6365B2D" w14:textId="75BA6E22" w:rsidR="000B3116" w:rsidRPr="00325C20" w:rsidRDefault="000B3116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="00F530CE">
              <w:rPr>
                <w:rFonts w:ascii="Arial Narrow" w:hAnsi="Arial Narrow"/>
                <w:color w:val="000000" w:themeColor="text1"/>
                <w:lang w:val="en-CA"/>
              </w:rPr>
              <w:br/>
              <w:t>24</w:t>
            </w:r>
            <w:r w:rsidR="00F530CE" w:rsidRPr="00F530CE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F530CE">
              <w:rPr>
                <w:rFonts w:ascii="Arial Narrow" w:hAnsi="Arial Narrow"/>
                <w:color w:val="000000" w:themeColor="text1"/>
                <w:lang w:val="en-CA"/>
              </w:rPr>
              <w:t xml:space="preserve"> January, 2027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548DF0" w14:textId="77777777" w:rsidR="000B3116" w:rsidRPr="00325C20" w:rsidRDefault="000B3116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17D8DC69" w14:textId="77777777" w:rsidR="000B3116" w:rsidRPr="000B3116" w:rsidRDefault="000B3116" w:rsidP="000B3116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br/>
      </w:r>
      <w:r w:rsidRPr="000B3116">
        <w:rPr>
          <w:rFonts w:ascii="Arial" w:hAnsi="Arial" w:cs="Arial"/>
          <w:b/>
          <w:lang w:val="en-CA"/>
        </w:rPr>
        <w:t xml:space="preserve">NOTE TO THE BOARD </w:t>
      </w:r>
      <w:proofErr w:type="gramStart"/>
      <w:r w:rsidRPr="000B3116">
        <w:rPr>
          <w:rFonts w:ascii="Arial" w:hAnsi="Arial" w:cs="Arial"/>
          <w:b/>
          <w:lang w:val="en-CA"/>
        </w:rPr>
        <w:t>MEMBERS :</w:t>
      </w:r>
      <w:proofErr w:type="gramEnd"/>
      <w:r w:rsidRPr="000B3116">
        <w:rPr>
          <w:rFonts w:ascii="Arial" w:hAnsi="Arial" w:cs="Arial"/>
          <w:b/>
          <w:lang w:val="en-CA"/>
        </w:rPr>
        <w:br/>
        <w:t>FOR YOUR INFORMATION, BY-LAWS IN THE ‘GOV’ SECTION ARE SUBMITTED FOR YOUR UPDATE AND/OR APPROVAL.</w:t>
      </w:r>
    </w:p>
    <w:p w14:paraId="2E31970C" w14:textId="78CB2EF1" w:rsidR="00484DB1" w:rsidRPr="000B3116" w:rsidRDefault="00AE3D15" w:rsidP="00AE3D15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 xml:space="preserve">It is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 xml:space="preserve">oard’s responsibility to appoint a qualified and competent individual as the Chief Executive Officer (CEO). 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 xml:space="preserve">oard oversees the performance of the CEO and supports the CEO’s development.  As part of this process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 xml:space="preserve">oard and CEO engage in </w:t>
      </w:r>
      <w:r w:rsidR="000B3116">
        <w:rPr>
          <w:rFonts w:ascii="Arial" w:hAnsi="Arial" w:cs="Arial"/>
          <w:lang w:val="en-CA"/>
        </w:rPr>
        <w:t xml:space="preserve">an </w:t>
      </w:r>
      <w:r w:rsidRPr="000B3116">
        <w:rPr>
          <w:rFonts w:ascii="Arial" w:hAnsi="Arial" w:cs="Arial"/>
          <w:lang w:val="en-CA"/>
        </w:rPr>
        <w:t>annual performance and revie</w:t>
      </w:r>
      <w:r w:rsidR="000B3116">
        <w:rPr>
          <w:rFonts w:ascii="Arial" w:hAnsi="Arial" w:cs="Arial"/>
          <w:lang w:val="en-CA"/>
        </w:rPr>
        <w:t>w which</w:t>
      </w:r>
      <w:r w:rsidRPr="000B3116">
        <w:rPr>
          <w:rFonts w:ascii="Arial" w:hAnsi="Arial" w:cs="Arial"/>
          <w:lang w:val="en-CA"/>
        </w:rPr>
        <w:t xml:space="preserve"> facilitates communication between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 xml:space="preserve">oard and the CEO and ensures that the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>oard’s priorities are achieved.  This policy sets out the basis for the CEO</w:t>
      </w:r>
      <w:r w:rsidR="000B3116">
        <w:rPr>
          <w:rFonts w:ascii="Arial" w:hAnsi="Arial" w:cs="Arial"/>
          <w:lang w:val="en-CA"/>
        </w:rPr>
        <w:t>’s</w:t>
      </w:r>
      <w:r w:rsidRPr="000B3116">
        <w:rPr>
          <w:rFonts w:ascii="Arial" w:hAnsi="Arial" w:cs="Arial"/>
          <w:lang w:val="en-CA"/>
        </w:rPr>
        <w:t xml:space="preserve"> evaluation.</w:t>
      </w:r>
      <w:r w:rsidRPr="000B3116">
        <w:rPr>
          <w:rFonts w:ascii="Arial" w:hAnsi="Arial" w:cs="Arial"/>
          <w:lang w:val="en-CA"/>
        </w:rPr>
        <w:br/>
      </w:r>
    </w:p>
    <w:p w14:paraId="3F7C8432" w14:textId="3BE0366D" w:rsidR="00AE3D15" w:rsidRPr="000B3116" w:rsidRDefault="00AE3D15" w:rsidP="00AE3D15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 xml:space="preserve">The CEO’s performance will be evaluated after the first six months for a new hire and annually thereafter. 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>oard shall:</w:t>
      </w:r>
      <w:r w:rsidRPr="000B3116">
        <w:rPr>
          <w:rFonts w:ascii="Arial" w:hAnsi="Arial" w:cs="Arial"/>
          <w:lang w:val="en-CA"/>
        </w:rPr>
        <w:br/>
      </w:r>
    </w:p>
    <w:p w14:paraId="26E84E07" w14:textId="607E4EAF" w:rsidR="00AE3D15" w:rsidRPr="000B3116" w:rsidRDefault="00AE3D15" w:rsidP="00AE3D15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 xml:space="preserve">Prepare a written job description which states the responsibilities </w:t>
      </w:r>
      <w:r w:rsidR="000B3116">
        <w:rPr>
          <w:rFonts w:ascii="Arial" w:hAnsi="Arial" w:cs="Arial"/>
          <w:lang w:val="en-CA"/>
        </w:rPr>
        <w:t xml:space="preserve">pertaining to the position </w:t>
      </w:r>
      <w:r w:rsidRPr="000B3116">
        <w:rPr>
          <w:rFonts w:ascii="Arial" w:hAnsi="Arial" w:cs="Arial"/>
          <w:lang w:val="en-CA"/>
        </w:rPr>
        <w:t>of</w:t>
      </w:r>
      <w:r w:rsidR="000B3116">
        <w:rPr>
          <w:rFonts w:ascii="Arial" w:hAnsi="Arial" w:cs="Arial"/>
          <w:lang w:val="en-CA"/>
        </w:rPr>
        <w:t xml:space="preserve"> the</w:t>
      </w:r>
      <w:r w:rsidRPr="000B3116">
        <w:rPr>
          <w:rFonts w:ascii="Arial" w:hAnsi="Arial" w:cs="Arial"/>
          <w:lang w:val="en-CA"/>
        </w:rPr>
        <w:t xml:space="preserve"> CEO</w:t>
      </w:r>
    </w:p>
    <w:p w14:paraId="3906308B" w14:textId="569CCA25" w:rsidR="00AE3D15" w:rsidRPr="000B3116" w:rsidRDefault="00AE3D15" w:rsidP="00AE3D15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Develop</w:t>
      </w:r>
      <w:r w:rsidR="000B3116">
        <w:rPr>
          <w:rFonts w:ascii="Arial" w:hAnsi="Arial" w:cs="Arial"/>
          <w:lang w:val="en-CA"/>
        </w:rPr>
        <w:t xml:space="preserve"> </w:t>
      </w:r>
      <w:r w:rsidRPr="000B3116">
        <w:rPr>
          <w:rFonts w:ascii="Arial" w:hAnsi="Arial" w:cs="Arial"/>
          <w:lang w:val="en-CA"/>
        </w:rPr>
        <w:t xml:space="preserve">with the CEO, performance objectives based on the </w:t>
      </w:r>
      <w:r w:rsidR="000B3116">
        <w:rPr>
          <w:rFonts w:ascii="Arial" w:hAnsi="Arial" w:cs="Arial"/>
          <w:lang w:val="en-CA"/>
        </w:rPr>
        <w:t xml:space="preserve">Library Board’s </w:t>
      </w:r>
      <w:r w:rsidRPr="000B3116">
        <w:rPr>
          <w:rFonts w:ascii="Arial" w:hAnsi="Arial" w:cs="Arial"/>
          <w:lang w:val="en-CA"/>
        </w:rPr>
        <w:t>strategic priorities</w:t>
      </w:r>
    </w:p>
    <w:p w14:paraId="47166B3F" w14:textId="01C3122A" w:rsidR="000B3116" w:rsidRDefault="00AE3D15" w:rsidP="00AE3D15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 xml:space="preserve">Appraise the CEO’s performance based on the job description, progress towards achieving the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 xml:space="preserve">oard’s priorities, compliance with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>oard policies and relevant competencies.</w:t>
      </w:r>
      <w:r w:rsidRP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br/>
      </w:r>
      <w:r w:rsidR="000B3116">
        <w:rPr>
          <w:rFonts w:ascii="Arial" w:hAnsi="Arial" w:cs="Arial"/>
          <w:lang w:val="en-CA"/>
        </w:rPr>
        <w:lastRenderedPageBreak/>
        <w:br/>
      </w:r>
      <w:r w:rsidR="000B3116">
        <w:rPr>
          <w:rFonts w:ascii="Arial" w:hAnsi="Arial" w:cs="Arial"/>
          <w:lang w:val="en-CA"/>
        </w:rPr>
        <w:br/>
      </w:r>
    </w:p>
    <w:p w14:paraId="3D8121B5" w14:textId="27356953" w:rsidR="00AE3D15" w:rsidRPr="000B3116" w:rsidRDefault="00AE3D15" w:rsidP="000B3116">
      <w:pPr>
        <w:pStyle w:val="ListParagraph"/>
        <w:tabs>
          <w:tab w:val="left" w:pos="360"/>
          <w:tab w:val="left" w:pos="1440"/>
        </w:tabs>
        <w:suppressAutoHyphens/>
        <w:spacing w:line="240" w:lineRule="atLeast"/>
        <w:ind w:left="1068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br/>
      </w:r>
    </w:p>
    <w:p w14:paraId="1DF6F519" w14:textId="77777777" w:rsidR="00AE3D15" w:rsidRPr="000B3116" w:rsidRDefault="00AE3D15" w:rsidP="00AE3D15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Information collected to assess the performance of the CEO may include:</w:t>
      </w:r>
      <w:r w:rsidRPr="000B3116">
        <w:rPr>
          <w:rFonts w:ascii="Arial" w:hAnsi="Arial" w:cs="Arial"/>
          <w:lang w:val="en-CA"/>
        </w:rPr>
        <w:br/>
      </w:r>
    </w:p>
    <w:p w14:paraId="2625797B" w14:textId="77777777" w:rsidR="00AE3D15" w:rsidRPr="000B3116" w:rsidRDefault="00282D0D" w:rsidP="00AE3D15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The annual report from the CEO on outcomes of the previous year’s objectives and actions</w:t>
      </w:r>
    </w:p>
    <w:p w14:paraId="06B21C68" w14:textId="77777777" w:rsidR="00282D0D" w:rsidRPr="000B3116" w:rsidRDefault="00282D0D" w:rsidP="00AE3D15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Data on service performance measures such as circulation, membership, program statistics, collection development, etc.</w:t>
      </w:r>
    </w:p>
    <w:p w14:paraId="79F88883" w14:textId="30AE17E2" w:rsidR="00282D0D" w:rsidRPr="000B3116" w:rsidRDefault="00282D0D" w:rsidP="00AE3D15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 xml:space="preserve">Input from members of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>oard, employees and/or outside stakeholders</w:t>
      </w:r>
    </w:p>
    <w:p w14:paraId="4E99F569" w14:textId="512A074C" w:rsidR="00282D0D" w:rsidRPr="000B3116" w:rsidRDefault="00282D0D" w:rsidP="00282D0D">
      <w:pPr>
        <w:tabs>
          <w:tab w:val="left" w:pos="360"/>
          <w:tab w:val="left" w:pos="1440"/>
        </w:tabs>
        <w:suppressAutoHyphens/>
        <w:spacing w:line="240" w:lineRule="atLeast"/>
        <w:ind w:left="360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br/>
        <w:t>3.     A sub-committee may be formed to oversee the review and prepare a written repor</w:t>
      </w:r>
      <w:r w:rsidR="000B3116">
        <w:rPr>
          <w:rFonts w:ascii="Arial" w:hAnsi="Arial" w:cs="Arial"/>
          <w:lang w:val="en-CA"/>
        </w:rPr>
        <w:t xml:space="preserve">t for </w:t>
      </w:r>
      <w:r w:rsidR="000B3116">
        <w:rPr>
          <w:rFonts w:ascii="Arial" w:hAnsi="Arial" w:cs="Arial"/>
          <w:lang w:val="en-CA"/>
        </w:rPr>
        <w:br/>
        <w:t xml:space="preserve">        the Library Board.</w:t>
      </w:r>
    </w:p>
    <w:p w14:paraId="0368A5AC" w14:textId="76006A79" w:rsidR="00282D0D" w:rsidRPr="000B3116" w:rsidRDefault="00282D0D" w:rsidP="00282D0D">
      <w:pPr>
        <w:tabs>
          <w:tab w:val="left" w:pos="360"/>
          <w:tab w:val="left" w:pos="1440"/>
        </w:tabs>
        <w:suppressAutoHyphens/>
        <w:spacing w:line="240" w:lineRule="atLeast"/>
        <w:ind w:left="360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br/>
        <w:t xml:space="preserve">4.     In the event that the CEO’s performance needs improvement, the </w:t>
      </w:r>
      <w:r w:rsidR="000B3116">
        <w:rPr>
          <w:rFonts w:ascii="Arial" w:hAnsi="Arial" w:cs="Arial"/>
          <w:lang w:val="en-CA"/>
        </w:rPr>
        <w:t>L</w:t>
      </w:r>
      <w:r w:rsidRPr="000B3116">
        <w:rPr>
          <w:rFonts w:ascii="Arial" w:hAnsi="Arial" w:cs="Arial"/>
          <w:lang w:val="en-CA"/>
        </w:rPr>
        <w:t xml:space="preserve">ibrary </w:t>
      </w:r>
      <w:r w:rsidR="000B3116">
        <w:rPr>
          <w:rFonts w:ascii="Arial" w:hAnsi="Arial" w:cs="Arial"/>
          <w:lang w:val="en-CA"/>
        </w:rPr>
        <w:t>B</w:t>
      </w:r>
      <w:r w:rsidRPr="000B3116">
        <w:rPr>
          <w:rFonts w:ascii="Arial" w:hAnsi="Arial" w:cs="Arial"/>
          <w:lang w:val="en-CA"/>
        </w:rPr>
        <w:t>oard</w:t>
      </w:r>
      <w:r w:rsidR="000B3116">
        <w:rPr>
          <w:rFonts w:ascii="Arial" w:hAnsi="Arial" w:cs="Arial"/>
          <w:lang w:val="en-CA"/>
        </w:rPr>
        <w:t xml:space="preserve"> </w:t>
      </w:r>
      <w:r w:rsidR="000B3116">
        <w:rPr>
          <w:rFonts w:ascii="Arial" w:hAnsi="Arial" w:cs="Arial"/>
          <w:lang w:val="en-CA"/>
        </w:rPr>
        <w:br/>
        <w:t xml:space="preserve">        must </w:t>
      </w:r>
      <w:r w:rsidRPr="000B3116">
        <w:rPr>
          <w:rFonts w:ascii="Arial" w:hAnsi="Arial" w:cs="Arial"/>
          <w:lang w:val="en-CA"/>
        </w:rPr>
        <w:t xml:space="preserve">clearly </w:t>
      </w:r>
      <w:r w:rsidR="000B3116">
        <w:rPr>
          <w:rFonts w:ascii="Arial" w:hAnsi="Arial" w:cs="Arial"/>
          <w:lang w:val="en-CA"/>
        </w:rPr>
        <w:t>state where progress must be made and will:</w:t>
      </w:r>
    </w:p>
    <w:p w14:paraId="60A879DF" w14:textId="77777777" w:rsidR="00282D0D" w:rsidRPr="000B3116" w:rsidRDefault="00282D0D" w:rsidP="00282D0D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Offer training and/or mentoring opportunities to address specific issues</w:t>
      </w:r>
    </w:p>
    <w:p w14:paraId="3A58374E" w14:textId="77777777" w:rsidR="00282D0D" w:rsidRPr="000B3116" w:rsidRDefault="00282D0D" w:rsidP="00282D0D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0B3116">
        <w:rPr>
          <w:rFonts w:ascii="Arial" w:hAnsi="Arial" w:cs="Arial"/>
          <w:lang w:val="en-CA"/>
        </w:rPr>
        <w:t>Re-evaluate the performance of the CEO in six months</w:t>
      </w:r>
      <w:r w:rsidR="007C27FA" w:rsidRPr="000B3116">
        <w:rPr>
          <w:rFonts w:ascii="Arial" w:hAnsi="Arial" w:cs="Arial"/>
          <w:lang w:val="en-CA"/>
        </w:rPr>
        <w:t>.</w:t>
      </w:r>
    </w:p>
    <w:p w14:paraId="654E7643" w14:textId="77777777" w:rsidR="006227CE" w:rsidRPr="000B3116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0E1BDAC2" w14:textId="571D9A94" w:rsidR="006227CE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25BFF9D5" w14:textId="50E03798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44C1AC8B" w14:textId="550520AB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40C32799" w14:textId="19D2EC81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4BC7D51F" w14:textId="4C47F24F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7F2797B0" w14:textId="2CF336B8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09870D62" w14:textId="1D192898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69370756" w14:textId="7F217050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40DEB9DA" w14:textId="3B8CC5B9" w:rsid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228A28C5" w14:textId="77777777" w:rsidR="000B3116" w:rsidRPr="000B3116" w:rsidRDefault="000B3116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5DA405F6" w14:textId="2BD37F6D" w:rsidR="00153A13" w:rsidRPr="000B3116" w:rsidRDefault="00484DB1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B3116">
        <w:rPr>
          <w:rFonts w:ascii="Arial" w:hAnsi="Arial" w:cs="Arial"/>
          <w:b/>
          <w:lang w:val="en-CA"/>
        </w:rPr>
        <w:t>Related Documents:</w:t>
      </w:r>
      <w:r w:rsidRPr="000B3116">
        <w:rPr>
          <w:rFonts w:ascii="Arial" w:hAnsi="Arial" w:cs="Arial"/>
          <w:lang w:val="en-CA"/>
        </w:rPr>
        <w:br/>
        <w:t>.</w:t>
      </w:r>
      <w:r w:rsidRPr="000B3116">
        <w:rPr>
          <w:rFonts w:ascii="Arial" w:hAnsi="Arial" w:cs="Arial"/>
          <w:lang w:val="en-CA"/>
        </w:rPr>
        <w:tab/>
        <w:t xml:space="preserve">Casselman Public Library. </w:t>
      </w:r>
      <w:r w:rsidR="00153A13" w:rsidRPr="000B3116">
        <w:rPr>
          <w:rFonts w:ascii="Arial" w:hAnsi="Arial" w:cs="Arial"/>
          <w:b/>
          <w:lang w:val="en-CA"/>
        </w:rPr>
        <w:t>GOV 13 – Delegation of Authority to the Chief Executive</w:t>
      </w:r>
      <w:r w:rsidR="000B3116">
        <w:rPr>
          <w:rFonts w:ascii="Arial" w:hAnsi="Arial" w:cs="Arial"/>
          <w:b/>
          <w:lang w:val="en-CA"/>
        </w:rPr>
        <w:br/>
        <w:t xml:space="preserve">       Officer</w:t>
      </w:r>
      <w:r w:rsidR="00153A13" w:rsidRPr="000B3116">
        <w:rPr>
          <w:rFonts w:ascii="Arial" w:hAnsi="Arial" w:cs="Arial"/>
          <w:b/>
          <w:lang w:val="en-CA"/>
        </w:rPr>
        <w:t xml:space="preserve"> </w:t>
      </w:r>
      <w:r w:rsidRPr="000B3116">
        <w:rPr>
          <w:rFonts w:ascii="Arial" w:hAnsi="Arial" w:cs="Arial"/>
          <w:b/>
          <w:lang w:val="en-CA"/>
        </w:rPr>
        <w:br/>
        <w:t>.</w:t>
      </w:r>
      <w:r w:rsidRPr="000B3116">
        <w:rPr>
          <w:rFonts w:ascii="Arial" w:hAnsi="Arial" w:cs="Arial"/>
          <w:b/>
          <w:lang w:val="en-CA"/>
        </w:rPr>
        <w:tab/>
      </w:r>
      <w:r w:rsidR="00DF01D0" w:rsidRPr="000B3116">
        <w:rPr>
          <w:rFonts w:ascii="Arial" w:hAnsi="Arial" w:cs="Arial"/>
          <w:lang w:val="en-CA"/>
        </w:rPr>
        <w:t xml:space="preserve">Casselman Public Library. </w:t>
      </w:r>
      <w:r w:rsidR="00153A13" w:rsidRPr="000B3116">
        <w:rPr>
          <w:rFonts w:ascii="Arial" w:hAnsi="Arial" w:cs="Arial"/>
          <w:b/>
          <w:lang w:val="en-CA"/>
        </w:rPr>
        <w:t xml:space="preserve">CEO Job Description </w:t>
      </w:r>
      <w:r w:rsidR="00153A13" w:rsidRPr="000B3116">
        <w:rPr>
          <w:rFonts w:ascii="Arial" w:hAnsi="Arial" w:cs="Arial"/>
          <w:lang w:val="en-CA"/>
        </w:rPr>
        <w:t>(</w:t>
      </w:r>
      <w:r w:rsidR="000B3116">
        <w:rPr>
          <w:rFonts w:ascii="Arial" w:hAnsi="Arial" w:cs="Arial"/>
          <w:lang w:val="en-CA"/>
        </w:rPr>
        <w:t>Appendix</w:t>
      </w:r>
      <w:r w:rsidR="00B530B1">
        <w:rPr>
          <w:rFonts w:ascii="Arial" w:hAnsi="Arial" w:cs="Arial"/>
          <w:lang w:val="en-CA"/>
        </w:rPr>
        <w:t xml:space="preserve"> – French only)</w:t>
      </w:r>
      <w:r w:rsidR="00DF01D0" w:rsidRPr="000B3116">
        <w:rPr>
          <w:rFonts w:ascii="Arial" w:hAnsi="Arial" w:cs="Arial"/>
          <w:b/>
          <w:lang w:val="en-CA"/>
        </w:rPr>
        <w:br/>
      </w:r>
    </w:p>
    <w:p w14:paraId="73B35274" w14:textId="77777777" w:rsidR="00484DB1" w:rsidRDefault="002B2D82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  <w:r>
        <w:rPr>
          <w:b/>
          <w:lang w:val="en-CA"/>
        </w:rPr>
        <w:br/>
      </w:r>
      <w:r w:rsidR="003F43D2">
        <w:rPr>
          <w:b/>
          <w:lang w:val="en-CA"/>
        </w:rPr>
        <w:t xml:space="preserve">      </w:t>
      </w:r>
    </w:p>
    <w:p w14:paraId="416F23E0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5FC02C67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6A745810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0C634631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57887A40" w14:textId="77777777" w:rsidR="004538C3" w:rsidRPr="00484DB1" w:rsidRDefault="004538C3" w:rsidP="004538C3">
      <w:pPr>
        <w:tabs>
          <w:tab w:val="left" w:pos="360"/>
          <w:tab w:val="left" w:pos="1440"/>
        </w:tabs>
        <w:suppressAutoHyphens/>
        <w:spacing w:line="240" w:lineRule="atLeast"/>
        <w:rPr>
          <w:lang w:val="en-CA"/>
        </w:rPr>
      </w:pPr>
    </w:p>
    <w:sectPr w:rsidR="004538C3" w:rsidRPr="00484DB1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F3BD6"/>
    <w:multiLevelType w:val="hybridMultilevel"/>
    <w:tmpl w:val="645E07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B0925"/>
    <w:multiLevelType w:val="hybridMultilevel"/>
    <w:tmpl w:val="0926547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5BB"/>
    <w:multiLevelType w:val="hybridMultilevel"/>
    <w:tmpl w:val="03621F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0BE"/>
    <w:multiLevelType w:val="hybridMultilevel"/>
    <w:tmpl w:val="825A15E4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94DDE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EC0C42"/>
    <w:multiLevelType w:val="hybridMultilevel"/>
    <w:tmpl w:val="C8F01240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E59B6"/>
    <w:multiLevelType w:val="hybridMultilevel"/>
    <w:tmpl w:val="B7EA4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35C0F"/>
    <w:multiLevelType w:val="hybridMultilevel"/>
    <w:tmpl w:val="3A0AE34A"/>
    <w:lvl w:ilvl="0" w:tplc="DF28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A5F72"/>
    <w:multiLevelType w:val="hybridMultilevel"/>
    <w:tmpl w:val="F2F8A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6ACD"/>
    <w:multiLevelType w:val="hybridMultilevel"/>
    <w:tmpl w:val="47CA731C"/>
    <w:lvl w:ilvl="0" w:tplc="F1C829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792A49"/>
    <w:multiLevelType w:val="hybridMultilevel"/>
    <w:tmpl w:val="2B26AF9C"/>
    <w:lvl w:ilvl="0" w:tplc="B066E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54272"/>
    <w:multiLevelType w:val="hybridMultilevel"/>
    <w:tmpl w:val="AC8601D2"/>
    <w:lvl w:ilvl="0" w:tplc="10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AD3F1D"/>
    <w:multiLevelType w:val="hybridMultilevel"/>
    <w:tmpl w:val="05FAC4A4"/>
    <w:lvl w:ilvl="0" w:tplc="24E02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590EF7"/>
    <w:multiLevelType w:val="hybridMultilevel"/>
    <w:tmpl w:val="A7747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55446"/>
    <w:multiLevelType w:val="hybridMultilevel"/>
    <w:tmpl w:val="DFA8BF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8277A"/>
    <w:multiLevelType w:val="hybridMultilevel"/>
    <w:tmpl w:val="1AFE00CE"/>
    <w:lvl w:ilvl="0" w:tplc="10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F510EB"/>
    <w:multiLevelType w:val="hybridMultilevel"/>
    <w:tmpl w:val="97783E60"/>
    <w:lvl w:ilvl="0" w:tplc="F1CA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E17ED"/>
    <w:multiLevelType w:val="hybridMultilevel"/>
    <w:tmpl w:val="7D686D02"/>
    <w:lvl w:ilvl="0" w:tplc="60507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568CD"/>
    <w:multiLevelType w:val="hybridMultilevel"/>
    <w:tmpl w:val="6962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22"/>
  </w:num>
  <w:num w:numId="5">
    <w:abstractNumId w:val="2"/>
  </w:num>
  <w:num w:numId="6">
    <w:abstractNumId w:val="8"/>
  </w:num>
  <w:num w:numId="7">
    <w:abstractNumId w:val="26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24"/>
  </w:num>
  <w:num w:numId="13">
    <w:abstractNumId w:val="14"/>
  </w:num>
  <w:num w:numId="14">
    <w:abstractNumId w:val="6"/>
  </w:num>
  <w:num w:numId="15">
    <w:abstractNumId w:val="7"/>
  </w:num>
  <w:num w:numId="16">
    <w:abstractNumId w:val="23"/>
  </w:num>
  <w:num w:numId="17">
    <w:abstractNumId w:val="29"/>
  </w:num>
  <w:num w:numId="18">
    <w:abstractNumId w:val="16"/>
  </w:num>
  <w:num w:numId="19">
    <w:abstractNumId w:val="11"/>
  </w:num>
  <w:num w:numId="20">
    <w:abstractNumId w:val="1"/>
  </w:num>
  <w:num w:numId="21">
    <w:abstractNumId w:val="4"/>
  </w:num>
  <w:num w:numId="22">
    <w:abstractNumId w:val="25"/>
  </w:num>
  <w:num w:numId="23">
    <w:abstractNumId w:val="19"/>
  </w:num>
  <w:num w:numId="24">
    <w:abstractNumId w:val="21"/>
  </w:num>
  <w:num w:numId="25">
    <w:abstractNumId w:val="17"/>
  </w:num>
  <w:num w:numId="26">
    <w:abstractNumId w:val="9"/>
  </w:num>
  <w:num w:numId="27">
    <w:abstractNumId w:val="30"/>
  </w:num>
  <w:num w:numId="28">
    <w:abstractNumId w:val="20"/>
  </w:num>
  <w:num w:numId="29">
    <w:abstractNumId w:val="27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16639"/>
    <w:rsid w:val="000B3116"/>
    <w:rsid w:val="000D344E"/>
    <w:rsid w:val="000F044A"/>
    <w:rsid w:val="000F531B"/>
    <w:rsid w:val="00126779"/>
    <w:rsid w:val="00132DB2"/>
    <w:rsid w:val="00152CC8"/>
    <w:rsid w:val="00153A13"/>
    <w:rsid w:val="001A5AE6"/>
    <w:rsid w:val="001C06A8"/>
    <w:rsid w:val="001E190F"/>
    <w:rsid w:val="0023406D"/>
    <w:rsid w:val="00235DCE"/>
    <w:rsid w:val="00274585"/>
    <w:rsid w:val="00277AEE"/>
    <w:rsid w:val="00282D0D"/>
    <w:rsid w:val="00296EED"/>
    <w:rsid w:val="002B2D82"/>
    <w:rsid w:val="002E639F"/>
    <w:rsid w:val="003635F4"/>
    <w:rsid w:val="003906E4"/>
    <w:rsid w:val="003E63DF"/>
    <w:rsid w:val="003F43D2"/>
    <w:rsid w:val="0040616F"/>
    <w:rsid w:val="00444C2E"/>
    <w:rsid w:val="00451AA3"/>
    <w:rsid w:val="004538C3"/>
    <w:rsid w:val="00484DB1"/>
    <w:rsid w:val="00492132"/>
    <w:rsid w:val="00500352"/>
    <w:rsid w:val="00505EDF"/>
    <w:rsid w:val="005B2867"/>
    <w:rsid w:val="005C0BB1"/>
    <w:rsid w:val="005D3A95"/>
    <w:rsid w:val="00601A31"/>
    <w:rsid w:val="00603F79"/>
    <w:rsid w:val="006227CE"/>
    <w:rsid w:val="006262AE"/>
    <w:rsid w:val="006E5A89"/>
    <w:rsid w:val="00705F08"/>
    <w:rsid w:val="00747A42"/>
    <w:rsid w:val="007B178F"/>
    <w:rsid w:val="007C27FA"/>
    <w:rsid w:val="008003F3"/>
    <w:rsid w:val="008020CF"/>
    <w:rsid w:val="008371A7"/>
    <w:rsid w:val="008E21A5"/>
    <w:rsid w:val="009220A4"/>
    <w:rsid w:val="009363B1"/>
    <w:rsid w:val="0094354D"/>
    <w:rsid w:val="009C4F7A"/>
    <w:rsid w:val="00A26E1D"/>
    <w:rsid w:val="00A7608E"/>
    <w:rsid w:val="00A8450B"/>
    <w:rsid w:val="00AD1570"/>
    <w:rsid w:val="00AE3D15"/>
    <w:rsid w:val="00B26EB2"/>
    <w:rsid w:val="00B530B1"/>
    <w:rsid w:val="00B76DD7"/>
    <w:rsid w:val="00BB65F4"/>
    <w:rsid w:val="00C90313"/>
    <w:rsid w:val="00CF069A"/>
    <w:rsid w:val="00D038D4"/>
    <w:rsid w:val="00D3461C"/>
    <w:rsid w:val="00D63B3A"/>
    <w:rsid w:val="00D6650E"/>
    <w:rsid w:val="00D86C62"/>
    <w:rsid w:val="00D927A7"/>
    <w:rsid w:val="00DF01D0"/>
    <w:rsid w:val="00E50716"/>
    <w:rsid w:val="00EE0AD0"/>
    <w:rsid w:val="00F036CC"/>
    <w:rsid w:val="00F10FBE"/>
    <w:rsid w:val="00F530CE"/>
    <w:rsid w:val="00F8328E"/>
    <w:rsid w:val="00FC7B46"/>
    <w:rsid w:val="00FE222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522F"/>
  <w15:docId w15:val="{95BAF98B-3C37-C34A-8DB0-3536ECA8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8C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84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8C3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character" w:customStyle="1" w:styleId="etpbfullwidthheadersubhead">
    <w:name w:val="et_pb_fullwidth_header_subhead"/>
    <w:basedOn w:val="DefaultParagraphFont"/>
    <w:rsid w:val="004538C3"/>
  </w:style>
  <w:style w:type="character" w:styleId="Hyperlink">
    <w:name w:val="Hyperlink"/>
    <w:basedOn w:val="DefaultParagraphFont"/>
    <w:unhideWhenUsed/>
    <w:rsid w:val="004538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62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4</cp:revision>
  <cp:lastPrinted>2021-12-23T18:29:00Z</cp:lastPrinted>
  <dcterms:created xsi:type="dcterms:W3CDTF">2021-12-23T18:29:00Z</dcterms:created>
  <dcterms:modified xsi:type="dcterms:W3CDTF">2022-01-10T19:11:00Z</dcterms:modified>
</cp:coreProperties>
</file>